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BA" w:rsidRDefault="00AA24DE">
      <w:pPr>
        <w:pStyle w:val="af7"/>
        <w:rPr>
          <w:sz w:val="36"/>
          <w:szCs w:val="36"/>
          <w:lang w:val="en-GB"/>
        </w:rPr>
      </w:pPr>
      <w:r>
        <w:rPr>
          <w:sz w:val="36"/>
          <w:szCs w:val="36"/>
          <w:lang w:val="en-GB"/>
        </w:rPr>
        <w:t xml:space="preserve">An Event on </w:t>
      </w:r>
      <w:r>
        <w:rPr>
          <w:b/>
          <w:bCs/>
          <w:sz w:val="36"/>
          <w:szCs w:val="36"/>
          <w:lang w:val="en-GB"/>
        </w:rPr>
        <w:t>Harnessing Inter-Regional Integration for SDGs</w:t>
      </w:r>
      <w:r>
        <w:rPr>
          <w:sz w:val="36"/>
          <w:szCs w:val="36"/>
          <w:lang w:val="en-GB"/>
        </w:rPr>
        <w:t xml:space="preserve"> </w:t>
      </w:r>
    </w:p>
    <w:p w:rsidR="002222BA" w:rsidRDefault="002222BA">
      <w:pPr>
        <w:jc w:val="center"/>
        <w:rPr>
          <w:rFonts w:cstheme="majorBidi"/>
          <w:u w:val="single"/>
          <w:lang w:val="en-GB"/>
        </w:rPr>
      </w:pPr>
    </w:p>
    <w:p w:rsidR="00917966" w:rsidRDefault="00917966">
      <w:pPr>
        <w:jc w:val="center"/>
        <w:rPr>
          <w:rFonts w:cstheme="majorBidi"/>
          <w:b/>
          <w:sz w:val="28"/>
          <w:szCs w:val="28"/>
          <w:u w:val="single"/>
          <w:lang w:val="en-GB"/>
        </w:rPr>
      </w:pPr>
      <w:r w:rsidRPr="00917966">
        <w:rPr>
          <w:rFonts w:cstheme="majorBidi"/>
          <w:b/>
          <w:sz w:val="28"/>
          <w:szCs w:val="28"/>
          <w:u w:val="single"/>
          <w:lang w:val="en-GB"/>
        </w:rPr>
        <w:t>Concept Paper</w:t>
      </w:r>
      <w:r w:rsidR="00DF3E15">
        <w:rPr>
          <w:rFonts w:cstheme="majorBidi"/>
          <w:b/>
          <w:sz w:val="28"/>
          <w:szCs w:val="28"/>
          <w:u w:val="single"/>
          <w:lang w:val="en-GB"/>
        </w:rPr>
        <w:t xml:space="preserve"> </w:t>
      </w:r>
    </w:p>
    <w:p w:rsidR="00917966" w:rsidRPr="00917966" w:rsidRDefault="00917966">
      <w:pPr>
        <w:jc w:val="center"/>
        <w:rPr>
          <w:rFonts w:cstheme="majorBidi"/>
          <w:b/>
          <w:sz w:val="28"/>
          <w:szCs w:val="28"/>
          <w:u w:val="single"/>
          <w:lang w:val="en-GB"/>
        </w:rPr>
      </w:pPr>
      <w:bookmarkStart w:id="0" w:name="_GoBack"/>
      <w:bookmarkEnd w:id="0"/>
    </w:p>
    <w:tbl>
      <w:tblPr>
        <w:tblStyle w:val="afb"/>
        <w:tblW w:w="9638" w:type="dxa"/>
        <w:tblLook w:val="04A0" w:firstRow="1" w:lastRow="0" w:firstColumn="1" w:lastColumn="0" w:noHBand="0" w:noVBand="1"/>
      </w:tblPr>
      <w:tblGrid>
        <w:gridCol w:w="1531"/>
        <w:gridCol w:w="8107"/>
      </w:tblGrid>
      <w:tr w:rsidR="002222BA">
        <w:tc>
          <w:tcPr>
            <w:tcW w:w="1531" w:type="dxa"/>
            <w:tcBorders>
              <w:top w:val="double" w:sz="4" w:space="0" w:color="000000"/>
              <w:left w:val="nil"/>
              <w:bottom w:val="nil"/>
              <w:right w:val="nil"/>
            </w:tcBorders>
            <w:shd w:val="clear" w:color="auto" w:fill="DAEEF3" w:themeFill="accent5" w:themeFillTint="33"/>
          </w:tcPr>
          <w:p w:rsidR="002222BA" w:rsidRDefault="00AA24DE">
            <w:pPr>
              <w:pStyle w:val="af"/>
              <w:spacing w:after="60" w:line="240" w:lineRule="auto"/>
              <w:jc w:val="right"/>
              <w:rPr>
                <w:sz w:val="32"/>
                <w:szCs w:val="32"/>
              </w:rPr>
            </w:pPr>
            <w:r>
              <w:rPr>
                <w:color w:val="1F497D" w:themeColor="text2"/>
                <w:sz w:val="32"/>
                <w:szCs w:val="32"/>
              </w:rPr>
              <w:t>What</w:t>
            </w:r>
            <w:r>
              <w:rPr>
                <w:sz w:val="32"/>
                <w:szCs w:val="32"/>
              </w:rPr>
              <w:t xml:space="preserve"> </w:t>
            </w:r>
          </w:p>
          <w:p w:rsidR="002222BA" w:rsidRDefault="002222BA">
            <w:pPr>
              <w:pStyle w:val="af"/>
              <w:spacing w:after="60" w:line="240" w:lineRule="auto"/>
              <w:jc w:val="right"/>
              <w:rPr>
                <w:sz w:val="32"/>
                <w:szCs w:val="32"/>
              </w:rPr>
            </w:pPr>
          </w:p>
        </w:tc>
        <w:tc>
          <w:tcPr>
            <w:tcW w:w="8106" w:type="dxa"/>
            <w:tcBorders>
              <w:top w:val="double" w:sz="4" w:space="0" w:color="000000"/>
              <w:left w:val="nil"/>
              <w:bottom w:val="nil"/>
              <w:right w:val="nil"/>
            </w:tcBorders>
            <w:shd w:val="clear" w:color="auto" w:fill="DAEEF3" w:themeFill="accent5" w:themeFillTint="33"/>
          </w:tcPr>
          <w:p w:rsidR="002222BA" w:rsidRDefault="00AA24DE">
            <w:pPr>
              <w:pStyle w:val="af"/>
              <w:numPr>
                <w:ilvl w:val="0"/>
                <w:numId w:val="2"/>
              </w:numPr>
              <w:spacing w:after="60" w:line="240" w:lineRule="auto"/>
              <w:ind w:left="462"/>
              <w:rPr>
                <w:color w:val="1F497D" w:themeColor="text2"/>
                <w:sz w:val="32"/>
                <w:szCs w:val="32"/>
              </w:rPr>
            </w:pPr>
            <w:r>
              <w:rPr>
                <w:sz w:val="32"/>
                <w:szCs w:val="32"/>
              </w:rPr>
              <w:t>A virtual meeting to discuss ways to maximise the contribution of inter-regional integration to SDGs attainment, and to facilitate regular and continuing collaboration among regional integration groupings</w:t>
            </w:r>
          </w:p>
        </w:tc>
      </w:tr>
      <w:tr w:rsidR="002222BA">
        <w:tc>
          <w:tcPr>
            <w:tcW w:w="1531" w:type="dxa"/>
            <w:tcBorders>
              <w:top w:val="nil"/>
              <w:left w:val="nil"/>
              <w:bottom w:val="nil"/>
              <w:right w:val="nil"/>
            </w:tcBorders>
            <w:shd w:val="clear" w:color="auto" w:fill="DAEEF3" w:themeFill="accent5" w:themeFillTint="33"/>
          </w:tcPr>
          <w:p w:rsidR="002222BA" w:rsidRDefault="00AA24DE">
            <w:pPr>
              <w:pStyle w:val="af"/>
              <w:spacing w:after="0" w:line="240" w:lineRule="auto"/>
              <w:jc w:val="right"/>
              <w:rPr>
                <w:sz w:val="32"/>
                <w:szCs w:val="32"/>
              </w:rPr>
            </w:pPr>
            <w:r>
              <w:rPr>
                <w:color w:val="1F497D" w:themeColor="text2"/>
                <w:sz w:val="32"/>
                <w:szCs w:val="32"/>
              </w:rPr>
              <w:t>When</w:t>
            </w:r>
          </w:p>
          <w:p w:rsidR="002222BA" w:rsidRDefault="002222BA">
            <w:pPr>
              <w:pStyle w:val="af"/>
              <w:spacing w:after="60" w:line="240" w:lineRule="auto"/>
              <w:jc w:val="right"/>
              <w:rPr>
                <w:color w:val="1F497D" w:themeColor="text2"/>
                <w:sz w:val="32"/>
                <w:szCs w:val="32"/>
              </w:rPr>
            </w:pPr>
          </w:p>
        </w:tc>
        <w:tc>
          <w:tcPr>
            <w:tcW w:w="8106" w:type="dxa"/>
            <w:tcBorders>
              <w:top w:val="nil"/>
              <w:left w:val="nil"/>
              <w:bottom w:val="nil"/>
              <w:right w:val="nil"/>
            </w:tcBorders>
            <w:shd w:val="clear" w:color="auto" w:fill="DAEEF3" w:themeFill="accent5" w:themeFillTint="33"/>
          </w:tcPr>
          <w:p w:rsidR="002222BA" w:rsidRDefault="00AA24DE" w:rsidP="00E670BC">
            <w:pPr>
              <w:pStyle w:val="af"/>
              <w:numPr>
                <w:ilvl w:val="0"/>
                <w:numId w:val="2"/>
              </w:numPr>
              <w:spacing w:after="0" w:line="240" w:lineRule="auto"/>
              <w:ind w:left="462" w:hanging="357"/>
              <w:rPr>
                <w:sz w:val="32"/>
                <w:szCs w:val="32"/>
              </w:rPr>
            </w:pPr>
            <w:r>
              <w:rPr>
                <w:sz w:val="32"/>
                <w:szCs w:val="32"/>
              </w:rPr>
              <w:t>20 May 2021</w:t>
            </w:r>
            <w:r w:rsidR="00E670BC">
              <w:rPr>
                <w:sz w:val="32"/>
                <w:szCs w:val="32"/>
              </w:rPr>
              <w:t>,</w:t>
            </w:r>
            <w:r>
              <w:rPr>
                <w:sz w:val="32"/>
                <w:szCs w:val="32"/>
              </w:rPr>
              <w:t xml:space="preserve"> </w:t>
            </w:r>
            <w:r w:rsidR="00E670BC">
              <w:rPr>
                <w:sz w:val="32"/>
                <w:szCs w:val="32"/>
              </w:rPr>
              <w:t>13:30 – 17:00 (Geneva time)</w:t>
            </w:r>
          </w:p>
        </w:tc>
      </w:tr>
      <w:tr w:rsidR="002222BA">
        <w:tc>
          <w:tcPr>
            <w:tcW w:w="1531" w:type="dxa"/>
            <w:tcBorders>
              <w:top w:val="nil"/>
              <w:left w:val="nil"/>
              <w:bottom w:val="nil"/>
              <w:right w:val="nil"/>
            </w:tcBorders>
            <w:shd w:val="clear" w:color="auto" w:fill="DAEEF3" w:themeFill="accent5" w:themeFillTint="33"/>
          </w:tcPr>
          <w:p w:rsidR="002222BA" w:rsidRDefault="00AA24DE">
            <w:pPr>
              <w:pStyle w:val="af"/>
              <w:spacing w:after="0" w:line="240" w:lineRule="auto"/>
              <w:jc w:val="right"/>
              <w:rPr>
                <w:sz w:val="32"/>
                <w:szCs w:val="32"/>
              </w:rPr>
            </w:pPr>
            <w:r>
              <w:rPr>
                <w:color w:val="1F497D" w:themeColor="text2"/>
                <w:sz w:val="32"/>
                <w:szCs w:val="32"/>
              </w:rPr>
              <w:t>Who</w:t>
            </w:r>
          </w:p>
          <w:p w:rsidR="002222BA" w:rsidRDefault="002222BA">
            <w:pPr>
              <w:pStyle w:val="af"/>
              <w:spacing w:after="60" w:line="240" w:lineRule="auto"/>
              <w:jc w:val="right"/>
              <w:rPr>
                <w:color w:val="1F497D" w:themeColor="text2"/>
                <w:sz w:val="32"/>
                <w:szCs w:val="32"/>
              </w:rPr>
            </w:pPr>
          </w:p>
        </w:tc>
        <w:tc>
          <w:tcPr>
            <w:tcW w:w="8106" w:type="dxa"/>
            <w:tcBorders>
              <w:top w:val="nil"/>
              <w:left w:val="nil"/>
              <w:bottom w:val="nil"/>
              <w:right w:val="nil"/>
            </w:tcBorders>
            <w:shd w:val="clear" w:color="auto" w:fill="DAEEF3" w:themeFill="accent5" w:themeFillTint="33"/>
          </w:tcPr>
          <w:p w:rsidR="002222BA" w:rsidRDefault="00AA24DE" w:rsidP="00854DBA">
            <w:pPr>
              <w:pStyle w:val="af"/>
              <w:numPr>
                <w:ilvl w:val="0"/>
                <w:numId w:val="1"/>
              </w:numPr>
              <w:spacing w:after="60" w:line="240" w:lineRule="auto"/>
              <w:ind w:left="462"/>
              <w:rPr>
                <w:sz w:val="32"/>
                <w:szCs w:val="32"/>
              </w:rPr>
            </w:pPr>
            <w:r>
              <w:rPr>
                <w:sz w:val="32"/>
                <w:szCs w:val="32"/>
              </w:rPr>
              <w:t xml:space="preserve">Organized by Belarus and Barbados in partnership with UNCTAD; </w:t>
            </w:r>
            <w:r w:rsidR="00854DBA">
              <w:rPr>
                <w:sz w:val="32"/>
                <w:szCs w:val="32"/>
              </w:rPr>
              <w:t>p</w:t>
            </w:r>
            <w:r>
              <w:rPr>
                <w:sz w:val="32"/>
                <w:szCs w:val="32"/>
              </w:rPr>
              <w:t xml:space="preserve">articipated by UN Member States, regional integration groupings, international organizations </w:t>
            </w:r>
          </w:p>
        </w:tc>
      </w:tr>
      <w:tr w:rsidR="002222BA" w:rsidRPr="00741B2D">
        <w:tc>
          <w:tcPr>
            <w:tcW w:w="1531" w:type="dxa"/>
            <w:tcBorders>
              <w:top w:val="nil"/>
              <w:left w:val="nil"/>
              <w:bottom w:val="double" w:sz="4" w:space="0" w:color="000000"/>
              <w:right w:val="nil"/>
            </w:tcBorders>
            <w:shd w:val="clear" w:color="auto" w:fill="DAEEF3" w:themeFill="accent5" w:themeFillTint="33"/>
          </w:tcPr>
          <w:p w:rsidR="002222BA" w:rsidRDefault="00AA24DE">
            <w:pPr>
              <w:pStyle w:val="af"/>
              <w:spacing w:after="0" w:line="240" w:lineRule="auto"/>
              <w:jc w:val="right"/>
              <w:rPr>
                <w:color w:val="1F497D" w:themeColor="text2"/>
                <w:sz w:val="32"/>
                <w:szCs w:val="32"/>
              </w:rPr>
            </w:pPr>
            <w:r>
              <w:rPr>
                <w:color w:val="1F497D" w:themeColor="text2"/>
                <w:sz w:val="32"/>
                <w:szCs w:val="32"/>
              </w:rPr>
              <w:t>How</w:t>
            </w:r>
          </w:p>
        </w:tc>
        <w:tc>
          <w:tcPr>
            <w:tcW w:w="8106" w:type="dxa"/>
            <w:tcBorders>
              <w:top w:val="nil"/>
              <w:left w:val="nil"/>
              <w:bottom w:val="double" w:sz="4" w:space="0" w:color="000000"/>
              <w:right w:val="nil"/>
            </w:tcBorders>
            <w:shd w:val="clear" w:color="auto" w:fill="DAEEF3" w:themeFill="accent5" w:themeFillTint="33"/>
          </w:tcPr>
          <w:p w:rsidR="002222BA" w:rsidRDefault="00AA24DE" w:rsidP="00D81693">
            <w:pPr>
              <w:pStyle w:val="af"/>
              <w:numPr>
                <w:ilvl w:val="0"/>
                <w:numId w:val="1"/>
              </w:numPr>
              <w:spacing w:after="60" w:line="240" w:lineRule="auto"/>
              <w:ind w:left="462"/>
              <w:rPr>
                <w:sz w:val="32"/>
                <w:szCs w:val="32"/>
              </w:rPr>
            </w:pPr>
            <w:r>
              <w:rPr>
                <w:sz w:val="32"/>
                <w:szCs w:val="32"/>
              </w:rPr>
              <w:t>A virtual meeting (</w:t>
            </w:r>
            <w:r w:rsidR="00D81693">
              <w:rPr>
                <w:sz w:val="32"/>
                <w:szCs w:val="32"/>
              </w:rPr>
              <w:t xml:space="preserve">Zoom </w:t>
            </w:r>
            <w:r>
              <w:rPr>
                <w:sz w:val="32"/>
                <w:szCs w:val="32"/>
              </w:rPr>
              <w:t xml:space="preserve">platform) </w:t>
            </w:r>
          </w:p>
        </w:tc>
      </w:tr>
    </w:tbl>
    <w:p w:rsidR="00741B2D" w:rsidRDefault="00741B2D" w:rsidP="00465DCC">
      <w:pPr>
        <w:pStyle w:val="af"/>
        <w:rPr>
          <w:sz w:val="32"/>
        </w:rPr>
      </w:pPr>
    </w:p>
    <w:p w:rsidR="00917966" w:rsidRDefault="00917966" w:rsidP="00465DCC">
      <w:pPr>
        <w:pStyle w:val="af"/>
        <w:rPr>
          <w:sz w:val="32"/>
        </w:rPr>
      </w:pPr>
    </w:p>
    <w:tbl>
      <w:tblPr>
        <w:tblStyle w:val="afb"/>
        <w:tblW w:w="9638" w:type="dxa"/>
        <w:tblBorders>
          <w:top w:val="double" w:sz="4" w:space="0" w:color="000000"/>
          <w:left w:val="none" w:sz="0" w:space="0" w:color="auto"/>
          <w:bottom w:val="double" w:sz="4" w:space="0" w:color="000000"/>
          <w:right w:val="none" w:sz="0" w:space="0" w:color="auto"/>
          <w:insideH w:val="none" w:sz="0" w:space="0" w:color="auto"/>
          <w:insideV w:val="none" w:sz="0" w:space="0" w:color="auto"/>
        </w:tblBorders>
        <w:tblLook w:val="04A0" w:firstRow="1" w:lastRow="0" w:firstColumn="1" w:lastColumn="0" w:noHBand="0" w:noVBand="1"/>
      </w:tblPr>
      <w:tblGrid>
        <w:gridCol w:w="1531"/>
        <w:gridCol w:w="8107"/>
      </w:tblGrid>
      <w:tr w:rsidR="00741B2D" w:rsidTr="0092585E">
        <w:tc>
          <w:tcPr>
            <w:tcW w:w="1531" w:type="dxa"/>
            <w:shd w:val="clear" w:color="auto" w:fill="DAEEF3" w:themeFill="accent5" w:themeFillTint="33"/>
          </w:tcPr>
          <w:p w:rsidR="00741B2D" w:rsidRDefault="00741B2D" w:rsidP="00CA0101">
            <w:pPr>
              <w:pStyle w:val="af"/>
              <w:spacing w:after="60" w:line="240" w:lineRule="auto"/>
              <w:jc w:val="right"/>
              <w:rPr>
                <w:sz w:val="32"/>
                <w:szCs w:val="32"/>
              </w:rPr>
            </w:pPr>
            <w:r>
              <w:rPr>
                <w:color w:val="1F497D" w:themeColor="text2"/>
                <w:sz w:val="32"/>
                <w:szCs w:val="32"/>
              </w:rPr>
              <w:t>Focal points</w:t>
            </w:r>
            <w:r>
              <w:rPr>
                <w:sz w:val="32"/>
                <w:szCs w:val="32"/>
              </w:rPr>
              <w:t xml:space="preserve"> </w:t>
            </w:r>
          </w:p>
          <w:p w:rsidR="00741B2D" w:rsidRDefault="00741B2D" w:rsidP="00CA0101">
            <w:pPr>
              <w:pStyle w:val="af"/>
              <w:spacing w:after="60" w:line="240" w:lineRule="auto"/>
              <w:jc w:val="right"/>
              <w:rPr>
                <w:sz w:val="32"/>
                <w:szCs w:val="32"/>
              </w:rPr>
            </w:pPr>
          </w:p>
        </w:tc>
        <w:tc>
          <w:tcPr>
            <w:tcW w:w="8107" w:type="dxa"/>
            <w:shd w:val="clear" w:color="auto" w:fill="DAEEF3" w:themeFill="accent5" w:themeFillTint="33"/>
          </w:tcPr>
          <w:p w:rsidR="00741B2D" w:rsidRPr="00741B2D" w:rsidRDefault="00741B2D" w:rsidP="00741B2D">
            <w:pPr>
              <w:pStyle w:val="af"/>
              <w:numPr>
                <w:ilvl w:val="0"/>
                <w:numId w:val="2"/>
              </w:numPr>
              <w:spacing w:after="60" w:line="240" w:lineRule="auto"/>
              <w:ind w:left="462"/>
              <w:rPr>
                <w:sz w:val="32"/>
                <w:szCs w:val="32"/>
              </w:rPr>
            </w:pPr>
            <w:r>
              <w:rPr>
                <w:sz w:val="32"/>
                <w:szCs w:val="32"/>
              </w:rPr>
              <w:t>Permanent Mission of Belarus at the United Nations Office and other international organizations in Geneva</w:t>
            </w:r>
          </w:p>
          <w:p w:rsidR="00741B2D" w:rsidRPr="00741B2D" w:rsidRDefault="00E670BC" w:rsidP="00741B2D">
            <w:pPr>
              <w:pStyle w:val="af"/>
              <w:spacing w:after="60" w:line="240" w:lineRule="auto"/>
              <w:ind w:left="462"/>
              <w:rPr>
                <w:sz w:val="32"/>
                <w:szCs w:val="32"/>
              </w:rPr>
            </w:pPr>
            <w:r>
              <w:rPr>
                <w:sz w:val="32"/>
                <w:szCs w:val="32"/>
              </w:rPr>
              <w:t xml:space="preserve">+41 </w:t>
            </w:r>
            <w:r w:rsidR="00741B2D" w:rsidRPr="00741B2D">
              <w:rPr>
                <w:sz w:val="32"/>
                <w:szCs w:val="32"/>
              </w:rPr>
              <w:t>22 748 24 50</w:t>
            </w:r>
          </w:p>
          <w:p w:rsidR="00741B2D" w:rsidRDefault="00056351" w:rsidP="00741B2D">
            <w:pPr>
              <w:pStyle w:val="af"/>
              <w:spacing w:after="60" w:line="240" w:lineRule="auto"/>
              <w:ind w:left="462"/>
              <w:rPr>
                <w:sz w:val="32"/>
                <w:szCs w:val="32"/>
              </w:rPr>
            </w:pPr>
            <w:hyperlink r:id="rId8" w:history="1">
              <w:r w:rsidR="00741B2D" w:rsidRPr="00D975B4">
                <w:rPr>
                  <w:rStyle w:val="aa"/>
                  <w:sz w:val="32"/>
                  <w:szCs w:val="32"/>
                </w:rPr>
                <w:t>belarus.geneva@mfa.gov.by</w:t>
              </w:r>
            </w:hyperlink>
          </w:p>
          <w:p w:rsidR="00741B2D" w:rsidRPr="00741B2D" w:rsidRDefault="00741B2D" w:rsidP="00741B2D">
            <w:pPr>
              <w:pStyle w:val="af"/>
              <w:spacing w:after="60" w:line="240" w:lineRule="auto"/>
              <w:ind w:left="462"/>
              <w:rPr>
                <w:sz w:val="32"/>
                <w:szCs w:val="32"/>
              </w:rPr>
            </w:pPr>
          </w:p>
          <w:p w:rsidR="00741B2D" w:rsidRPr="00741B2D" w:rsidRDefault="00741B2D" w:rsidP="00741B2D">
            <w:pPr>
              <w:pStyle w:val="af"/>
              <w:numPr>
                <w:ilvl w:val="0"/>
                <w:numId w:val="2"/>
              </w:numPr>
              <w:spacing w:after="60" w:line="240" w:lineRule="auto"/>
              <w:ind w:left="462"/>
              <w:rPr>
                <w:sz w:val="32"/>
                <w:szCs w:val="32"/>
              </w:rPr>
            </w:pPr>
            <w:r>
              <w:rPr>
                <w:sz w:val="32"/>
                <w:szCs w:val="32"/>
              </w:rPr>
              <w:t>Permanent Mission of Barbados at the United Nations Office and other international organizations in Geneva</w:t>
            </w:r>
          </w:p>
          <w:p w:rsidR="00741B2D" w:rsidRDefault="00E670BC" w:rsidP="00741B2D">
            <w:pPr>
              <w:pStyle w:val="af"/>
              <w:spacing w:after="60" w:line="240" w:lineRule="auto"/>
              <w:ind w:left="462"/>
              <w:rPr>
                <w:sz w:val="32"/>
                <w:szCs w:val="32"/>
              </w:rPr>
            </w:pPr>
            <w:r>
              <w:rPr>
                <w:sz w:val="32"/>
                <w:szCs w:val="32"/>
              </w:rPr>
              <w:t xml:space="preserve">+41 </w:t>
            </w:r>
            <w:r w:rsidR="00741B2D" w:rsidRPr="00741B2D">
              <w:rPr>
                <w:sz w:val="32"/>
                <w:szCs w:val="32"/>
              </w:rPr>
              <w:t>22 791 85 00</w:t>
            </w:r>
          </w:p>
          <w:p w:rsidR="00741B2D" w:rsidRDefault="00056351" w:rsidP="00741B2D">
            <w:pPr>
              <w:pStyle w:val="af"/>
              <w:spacing w:after="60" w:line="240" w:lineRule="auto"/>
              <w:ind w:left="462"/>
              <w:rPr>
                <w:sz w:val="32"/>
                <w:szCs w:val="32"/>
              </w:rPr>
            </w:pPr>
            <w:hyperlink r:id="rId9" w:history="1">
              <w:r w:rsidR="00741B2D" w:rsidRPr="00D975B4">
                <w:rPr>
                  <w:rStyle w:val="aa"/>
                  <w:sz w:val="32"/>
                  <w:szCs w:val="32"/>
                </w:rPr>
                <w:t>geneva@foreign.gov.bb</w:t>
              </w:r>
            </w:hyperlink>
          </w:p>
          <w:p w:rsidR="00741B2D" w:rsidRPr="00741B2D" w:rsidRDefault="00741B2D" w:rsidP="00741B2D">
            <w:pPr>
              <w:pStyle w:val="af"/>
              <w:spacing w:after="60" w:line="240" w:lineRule="auto"/>
              <w:ind w:left="462"/>
              <w:rPr>
                <w:sz w:val="32"/>
                <w:szCs w:val="32"/>
              </w:rPr>
            </w:pPr>
          </w:p>
        </w:tc>
      </w:tr>
    </w:tbl>
    <w:p w:rsidR="00917966" w:rsidRDefault="00917966" w:rsidP="00465DCC">
      <w:pPr>
        <w:pStyle w:val="af"/>
        <w:rPr>
          <w:sz w:val="32"/>
        </w:rPr>
      </w:pPr>
    </w:p>
    <w:p w:rsidR="00917966" w:rsidRDefault="00917966" w:rsidP="00917966">
      <w:pPr>
        <w:rPr>
          <w:rFonts w:ascii="Cambria" w:hAnsi="Cambria"/>
          <w:lang w:val="en-GB"/>
        </w:rPr>
      </w:pPr>
      <w:r>
        <w:br w:type="page"/>
      </w:r>
    </w:p>
    <w:p w:rsidR="002222BA" w:rsidRDefault="00AA24DE" w:rsidP="00BD4D18">
      <w:pPr>
        <w:pStyle w:val="1"/>
        <w:spacing w:after="360" w:line="500" w:lineRule="exact"/>
        <w:rPr>
          <w:sz w:val="32"/>
          <w:lang w:val="en-GB"/>
        </w:rPr>
      </w:pPr>
      <w:r>
        <w:rPr>
          <w:sz w:val="32"/>
          <w:lang w:val="en-GB"/>
        </w:rPr>
        <w:lastRenderedPageBreak/>
        <w:t>Background</w:t>
      </w:r>
    </w:p>
    <w:p w:rsidR="002222BA" w:rsidRDefault="00AA24DE" w:rsidP="008A4907">
      <w:pPr>
        <w:pStyle w:val="af"/>
        <w:spacing w:after="360" w:line="500" w:lineRule="exact"/>
        <w:ind w:firstLine="851"/>
        <w:rPr>
          <w:sz w:val="32"/>
          <w:szCs w:val="32"/>
        </w:rPr>
      </w:pPr>
      <w:r>
        <w:rPr>
          <w:sz w:val="32"/>
          <w:szCs w:val="32"/>
        </w:rPr>
        <w:t>The socio-economic crisis ignited by the COVID-19 pandemic has reversed the progress towards meeting the Sustainable Development Goals</w:t>
      </w:r>
      <w:r w:rsidR="00186DDA">
        <w:rPr>
          <w:sz w:val="32"/>
          <w:szCs w:val="32"/>
        </w:rPr>
        <w:t xml:space="preserve"> (SDGs)</w:t>
      </w:r>
      <w:r>
        <w:rPr>
          <w:sz w:val="32"/>
          <w:szCs w:val="32"/>
        </w:rPr>
        <w:t xml:space="preserve"> by 2030. An initial proliferation of trade-restrictive measures, such as restrictions on the export of essential medical supplies and/or foodstuff, highlighted the need for a trading system that would safeguard vulnerable countries in times of crisis. </w:t>
      </w:r>
    </w:p>
    <w:p w:rsidR="002222BA" w:rsidRDefault="00AA24DE" w:rsidP="008A4907">
      <w:pPr>
        <w:pStyle w:val="af"/>
        <w:spacing w:after="360" w:line="500" w:lineRule="exact"/>
        <w:ind w:firstLine="851"/>
        <w:rPr>
          <w:sz w:val="32"/>
          <w:szCs w:val="32"/>
        </w:rPr>
      </w:pPr>
      <w:r>
        <w:rPr>
          <w:sz w:val="32"/>
          <w:szCs w:val="32"/>
        </w:rPr>
        <w:t xml:space="preserve">Even before the COVID-19 crisis hit the world, the international trading system was undergoing a structural change. While the multilateral trading system under the World Trade Organization (WTO) remains as the foundation for promoting “a universal, rules-based, open, non-discriminatory and equitable” (SDG Target 17.10) trading system, there has been a significant increase in the number of regional and sub-regional economic integration and trade agreements. </w:t>
      </w:r>
      <w:r w:rsidR="00917966">
        <w:rPr>
          <w:sz w:val="32"/>
          <w:szCs w:val="32"/>
        </w:rPr>
        <w:t>B</w:t>
      </w:r>
      <w:r>
        <w:rPr>
          <w:sz w:val="32"/>
          <w:szCs w:val="32"/>
        </w:rPr>
        <w:t xml:space="preserve">etween 2005 and 2019, </w:t>
      </w:r>
      <w:r w:rsidR="00141CC9">
        <w:rPr>
          <w:sz w:val="32"/>
          <w:szCs w:val="32"/>
        </w:rPr>
        <w:t>a</w:t>
      </w:r>
      <w:r>
        <w:rPr>
          <w:sz w:val="32"/>
          <w:szCs w:val="32"/>
        </w:rPr>
        <w:t xml:space="preserve"> number of regional trade agreements doubled from 150 to over 300. In recent years, about half of all trade agreements aim at “deeper” integration by addressing issues beyond tariffs and trade rules under WTO.</w:t>
      </w:r>
    </w:p>
    <w:p w:rsidR="002222BA" w:rsidRDefault="00AA24DE" w:rsidP="008A4907">
      <w:pPr>
        <w:pStyle w:val="af"/>
        <w:spacing w:after="360" w:line="500" w:lineRule="exact"/>
        <w:ind w:firstLine="851"/>
        <w:rPr>
          <w:sz w:val="32"/>
          <w:szCs w:val="32"/>
        </w:rPr>
      </w:pPr>
      <w:r>
        <w:rPr>
          <w:sz w:val="32"/>
          <w:szCs w:val="32"/>
        </w:rPr>
        <w:t>Regional economic integration aims to reduce trade barriers among members to foster region-wide socio</w:t>
      </w:r>
      <w:r w:rsidR="00141CC9">
        <w:rPr>
          <w:sz w:val="32"/>
          <w:szCs w:val="32"/>
        </w:rPr>
        <w:t>-</w:t>
      </w:r>
      <w:r>
        <w:rPr>
          <w:sz w:val="32"/>
          <w:szCs w:val="32"/>
        </w:rPr>
        <w:t xml:space="preserve">economic development in a meaningful manner. </w:t>
      </w:r>
      <w:r w:rsidR="00917966" w:rsidRPr="00EB0A7C">
        <w:rPr>
          <w:sz w:val="32"/>
          <w:szCs w:val="32"/>
        </w:rPr>
        <w:t xml:space="preserve">Regional economic integration at its best may help member countries to address collective </w:t>
      </w:r>
      <w:r w:rsidR="00917966">
        <w:rPr>
          <w:sz w:val="32"/>
          <w:szCs w:val="32"/>
        </w:rPr>
        <w:t>interests on issues</w:t>
      </w:r>
      <w:r w:rsidR="00917966" w:rsidRPr="00EB0A7C">
        <w:rPr>
          <w:sz w:val="32"/>
          <w:szCs w:val="32"/>
        </w:rPr>
        <w:t xml:space="preserve"> such as poverty and inequality, </w:t>
      </w:r>
      <w:r w:rsidR="00917966">
        <w:rPr>
          <w:sz w:val="32"/>
          <w:szCs w:val="32"/>
        </w:rPr>
        <w:t xml:space="preserve">vulnerability, </w:t>
      </w:r>
      <w:r w:rsidR="00917966" w:rsidRPr="00EB0A7C">
        <w:rPr>
          <w:sz w:val="32"/>
          <w:szCs w:val="32"/>
        </w:rPr>
        <w:t xml:space="preserve">food security, </w:t>
      </w:r>
      <w:r w:rsidR="00917966">
        <w:rPr>
          <w:sz w:val="32"/>
          <w:szCs w:val="32"/>
        </w:rPr>
        <w:t xml:space="preserve">debt, </w:t>
      </w:r>
      <w:r w:rsidR="00917966" w:rsidRPr="00EB0A7C">
        <w:rPr>
          <w:sz w:val="32"/>
          <w:szCs w:val="32"/>
        </w:rPr>
        <w:t>gender empowerment, energy, decent work, infrastructure, sustainable production, and “green” and “blue” growth, among others.</w:t>
      </w:r>
    </w:p>
    <w:p w:rsidR="002222BA" w:rsidRDefault="00AA24DE" w:rsidP="008A4907">
      <w:pPr>
        <w:pStyle w:val="af"/>
        <w:spacing w:after="360" w:line="500" w:lineRule="exact"/>
        <w:ind w:firstLine="851"/>
        <w:rPr>
          <w:sz w:val="32"/>
          <w:szCs w:val="32"/>
        </w:rPr>
      </w:pPr>
      <w:r>
        <w:rPr>
          <w:sz w:val="32"/>
          <w:szCs w:val="32"/>
        </w:rPr>
        <w:lastRenderedPageBreak/>
        <w:t>It is in this context that regional integration could play a crucial role in revitalizing growth and accelerating the pace to achieve the SDGs by 2030. </w:t>
      </w:r>
    </w:p>
    <w:p w:rsidR="004A3650" w:rsidRDefault="00917966" w:rsidP="008A4907">
      <w:pPr>
        <w:pStyle w:val="af"/>
        <w:spacing w:after="360" w:line="500" w:lineRule="exact"/>
        <w:ind w:firstLine="851"/>
        <w:rPr>
          <w:sz w:val="32"/>
          <w:szCs w:val="32"/>
        </w:rPr>
      </w:pPr>
      <w:r w:rsidRPr="00EB0A7C">
        <w:rPr>
          <w:sz w:val="32"/>
          <w:szCs w:val="32"/>
        </w:rPr>
        <w:t>Each regional integration grouping follows its own development path and accumulates unique experience in contributing to the attainment of the SDGs. Exchanging information on such unique experiences and best practices, including building institutional</w:t>
      </w:r>
      <w:r>
        <w:rPr>
          <w:sz w:val="32"/>
          <w:szCs w:val="32"/>
        </w:rPr>
        <w:t xml:space="preserve"> capacity</w:t>
      </w:r>
      <w:r w:rsidRPr="00EB0A7C">
        <w:rPr>
          <w:sz w:val="32"/>
          <w:szCs w:val="32"/>
        </w:rPr>
        <w:t xml:space="preserve"> and implementation of the </w:t>
      </w:r>
      <w:r w:rsidR="00141CC9">
        <w:rPr>
          <w:sz w:val="32"/>
          <w:szCs w:val="32"/>
        </w:rPr>
        <w:t xml:space="preserve">integration </w:t>
      </w:r>
      <w:r w:rsidRPr="00EB0A7C">
        <w:rPr>
          <w:sz w:val="32"/>
          <w:szCs w:val="32"/>
        </w:rPr>
        <w:t>agreement</w:t>
      </w:r>
      <w:r w:rsidR="00141CC9">
        <w:rPr>
          <w:sz w:val="32"/>
          <w:szCs w:val="32"/>
        </w:rPr>
        <w:t>s</w:t>
      </w:r>
      <w:r w:rsidRPr="00EB0A7C">
        <w:rPr>
          <w:sz w:val="32"/>
          <w:szCs w:val="32"/>
        </w:rPr>
        <w:t xml:space="preserve"> at the national level, will be mutually beneficial for all regional integration groupings. </w:t>
      </w:r>
    </w:p>
    <w:p w:rsidR="002222BA" w:rsidRDefault="00917966" w:rsidP="008A4907">
      <w:pPr>
        <w:pStyle w:val="af"/>
        <w:spacing w:after="360" w:line="500" w:lineRule="exact"/>
        <w:ind w:firstLine="851"/>
        <w:rPr>
          <w:sz w:val="32"/>
          <w:szCs w:val="32"/>
        </w:rPr>
      </w:pPr>
      <w:r w:rsidRPr="00723208">
        <w:rPr>
          <w:sz w:val="32"/>
          <w:szCs w:val="32"/>
          <w:lang w:val="en-US"/>
        </w:rPr>
        <w:t xml:space="preserve">The Eurasian Economic Union (EAEU) </w:t>
      </w:r>
      <w:r>
        <w:rPr>
          <w:sz w:val="32"/>
          <w:szCs w:val="32"/>
          <w:lang w:val="en-US"/>
        </w:rPr>
        <w:t xml:space="preserve">and the Caribbean Community (CARICOM) </w:t>
      </w:r>
      <w:proofErr w:type="gramStart"/>
      <w:r>
        <w:rPr>
          <w:sz w:val="32"/>
          <w:szCs w:val="32"/>
          <w:lang w:val="en-US"/>
        </w:rPr>
        <w:t>could be seen</w:t>
      </w:r>
      <w:proofErr w:type="gramEnd"/>
      <w:r>
        <w:rPr>
          <w:sz w:val="32"/>
          <w:szCs w:val="32"/>
          <w:lang w:val="en-US"/>
        </w:rPr>
        <w:t xml:space="preserve"> among</w:t>
      </w:r>
      <w:r w:rsidRPr="00723208">
        <w:rPr>
          <w:sz w:val="32"/>
          <w:szCs w:val="32"/>
          <w:lang w:val="en-US"/>
        </w:rPr>
        <w:t xml:space="preserve"> prime example</w:t>
      </w:r>
      <w:r>
        <w:rPr>
          <w:sz w:val="32"/>
          <w:szCs w:val="32"/>
          <w:lang w:val="en-US"/>
        </w:rPr>
        <w:t>s</w:t>
      </w:r>
      <w:r w:rsidRPr="00723208">
        <w:rPr>
          <w:sz w:val="32"/>
          <w:szCs w:val="32"/>
          <w:lang w:val="en-US"/>
        </w:rPr>
        <w:t xml:space="preserve"> in this regard. I</w:t>
      </w:r>
      <w:r>
        <w:rPr>
          <w:sz w:val="32"/>
          <w:szCs w:val="32"/>
          <w:lang w:val="en-US"/>
        </w:rPr>
        <w:t xml:space="preserve">n particular, the EAEU </w:t>
      </w:r>
      <w:r w:rsidRPr="00723208">
        <w:rPr>
          <w:sz w:val="32"/>
          <w:szCs w:val="32"/>
          <w:lang w:val="en-US"/>
        </w:rPr>
        <w:t>is the only regional project that has provided a voluntary review of the presentation of its SDG activities in 2017 at the ECOSOC High-level Political Forum on Sustainable Development in New York.</w:t>
      </w:r>
    </w:p>
    <w:p w:rsidR="002222BA" w:rsidRDefault="00917966" w:rsidP="008A4907">
      <w:pPr>
        <w:pStyle w:val="af"/>
        <w:spacing w:after="360" w:line="500" w:lineRule="exact"/>
        <w:ind w:firstLine="851"/>
        <w:rPr>
          <w:sz w:val="32"/>
          <w:szCs w:val="32"/>
        </w:rPr>
      </w:pPr>
      <w:r w:rsidRPr="00EB0A7C">
        <w:rPr>
          <w:sz w:val="32"/>
          <w:szCs w:val="32"/>
        </w:rPr>
        <w:t xml:space="preserve">Interactions among regional integration groupings are already underway but on a limited scale. </w:t>
      </w:r>
      <w:r w:rsidRPr="008F3B7B">
        <w:rPr>
          <w:sz w:val="32"/>
          <w:szCs w:val="32"/>
        </w:rPr>
        <w:t xml:space="preserve">A web of bilateral FTAs </w:t>
      </w:r>
      <w:r>
        <w:rPr>
          <w:sz w:val="32"/>
          <w:szCs w:val="32"/>
        </w:rPr>
        <w:t xml:space="preserve">involving regional integration groupings </w:t>
      </w:r>
      <w:r w:rsidRPr="008F3B7B">
        <w:rPr>
          <w:sz w:val="32"/>
          <w:szCs w:val="32"/>
        </w:rPr>
        <w:t>are emerging,</w:t>
      </w:r>
      <w:r>
        <w:rPr>
          <w:sz w:val="32"/>
          <w:szCs w:val="32"/>
        </w:rPr>
        <w:t xml:space="preserve"> while large-scale multi-party </w:t>
      </w:r>
      <w:r w:rsidRPr="008876CF">
        <w:rPr>
          <w:sz w:val="32"/>
          <w:szCs w:val="32"/>
        </w:rPr>
        <w:t>RTA</w:t>
      </w:r>
      <w:r>
        <w:rPr>
          <w:sz w:val="32"/>
          <w:szCs w:val="32"/>
        </w:rPr>
        <w:t xml:space="preserve">s evolved along </w:t>
      </w:r>
      <w:r w:rsidRPr="008876CF">
        <w:rPr>
          <w:sz w:val="32"/>
          <w:szCs w:val="32"/>
        </w:rPr>
        <w:t xml:space="preserve">South-South and South-South-North </w:t>
      </w:r>
      <w:r>
        <w:rPr>
          <w:sz w:val="32"/>
          <w:szCs w:val="32"/>
        </w:rPr>
        <w:t>axis.</w:t>
      </w:r>
    </w:p>
    <w:p w:rsidR="002222BA" w:rsidRDefault="00AA24DE" w:rsidP="008A4907">
      <w:pPr>
        <w:pStyle w:val="af"/>
        <w:spacing w:after="360" w:line="500" w:lineRule="exact"/>
        <w:ind w:firstLine="851"/>
        <w:rPr>
          <w:sz w:val="32"/>
          <w:szCs w:val="32"/>
        </w:rPr>
      </w:pPr>
      <w:r>
        <w:rPr>
          <w:sz w:val="32"/>
          <w:szCs w:val="32"/>
        </w:rPr>
        <w:t xml:space="preserve">However, to date no framework or platform facilitates regular and continuous interactions among </w:t>
      </w:r>
      <w:r>
        <w:rPr>
          <w:sz w:val="32"/>
          <w:szCs w:val="32"/>
          <w:lang w:val="en-US"/>
        </w:rPr>
        <w:t xml:space="preserve">regional economic </w:t>
      </w:r>
      <w:r>
        <w:rPr>
          <w:sz w:val="32"/>
          <w:szCs w:val="32"/>
        </w:rPr>
        <w:t xml:space="preserve">integration groupings. </w:t>
      </w:r>
    </w:p>
    <w:p w:rsidR="002222BA" w:rsidRDefault="00AA24DE" w:rsidP="00BD4D18">
      <w:pPr>
        <w:pStyle w:val="1"/>
        <w:spacing w:after="360" w:line="500" w:lineRule="exact"/>
        <w:rPr>
          <w:sz w:val="32"/>
          <w:lang w:val="en-GB"/>
        </w:rPr>
      </w:pPr>
      <w:r>
        <w:rPr>
          <w:sz w:val="32"/>
          <w:lang w:val="en-GB"/>
        </w:rPr>
        <w:lastRenderedPageBreak/>
        <w:t xml:space="preserve">Proposal </w:t>
      </w:r>
    </w:p>
    <w:p w:rsidR="002222BA" w:rsidRDefault="00AA24DE" w:rsidP="00BD4D18">
      <w:pPr>
        <w:pStyle w:val="af"/>
        <w:spacing w:after="360" w:line="500" w:lineRule="exact"/>
        <w:ind w:firstLine="993"/>
        <w:rPr>
          <w:sz w:val="32"/>
          <w:szCs w:val="32"/>
        </w:rPr>
      </w:pPr>
      <w:r>
        <w:rPr>
          <w:sz w:val="32"/>
          <w:szCs w:val="32"/>
        </w:rPr>
        <w:t xml:space="preserve">Against the above background, Belarus and Barbados propose to organize an event to discuss ways to enhance horizontal cooperation and collaboration among regional integration groupings towards achieving the SDGs. </w:t>
      </w:r>
    </w:p>
    <w:p w:rsidR="002222BA" w:rsidRDefault="00AA24DE" w:rsidP="000E0D32">
      <w:pPr>
        <w:pStyle w:val="af"/>
        <w:spacing w:after="360" w:line="400" w:lineRule="exact"/>
        <w:ind w:firstLine="993"/>
        <w:rPr>
          <w:sz w:val="32"/>
          <w:szCs w:val="32"/>
        </w:rPr>
      </w:pPr>
      <w:r>
        <w:rPr>
          <w:sz w:val="32"/>
          <w:szCs w:val="32"/>
        </w:rPr>
        <w:t xml:space="preserve">The event will: </w:t>
      </w:r>
    </w:p>
    <w:p w:rsidR="002222BA" w:rsidRDefault="00AA24DE" w:rsidP="000E0D32">
      <w:pPr>
        <w:pStyle w:val="af"/>
        <w:numPr>
          <w:ilvl w:val="0"/>
          <w:numId w:val="2"/>
        </w:numPr>
        <w:spacing w:after="360" w:line="400" w:lineRule="exact"/>
        <w:ind w:left="0" w:firstLine="993"/>
        <w:rPr>
          <w:sz w:val="32"/>
          <w:szCs w:val="32"/>
        </w:rPr>
      </w:pPr>
      <w:r>
        <w:rPr>
          <w:sz w:val="32"/>
          <w:szCs w:val="32"/>
        </w:rPr>
        <w:t>Bring regional integration groupings and their member countries together to exchange views on if/how regional integration has helped members develop collective solutions to common challenges, including those exacerbated by the COVID-19 crisis,</w:t>
      </w:r>
      <w:r>
        <w:t xml:space="preserve"> </w:t>
      </w:r>
      <w:r>
        <w:rPr>
          <w:sz w:val="32"/>
          <w:szCs w:val="32"/>
        </w:rPr>
        <w:t xml:space="preserve">and ensure SDGs attainment. </w:t>
      </w:r>
    </w:p>
    <w:p w:rsidR="002222BA" w:rsidRDefault="008C01F0" w:rsidP="000E0D32">
      <w:pPr>
        <w:pStyle w:val="af"/>
        <w:numPr>
          <w:ilvl w:val="0"/>
          <w:numId w:val="2"/>
        </w:numPr>
        <w:spacing w:after="360" w:line="400" w:lineRule="exact"/>
        <w:ind w:left="0" w:firstLine="993"/>
        <w:rPr>
          <w:sz w:val="32"/>
          <w:szCs w:val="32"/>
        </w:rPr>
      </w:pPr>
      <w:r>
        <w:rPr>
          <w:sz w:val="32"/>
          <w:szCs w:val="32"/>
        </w:rPr>
        <w:t>Be an integral element of the preparatory process towards the Fifteenth session of the United Nations Conference on Trade and Development (UNCTAD 15)</w:t>
      </w:r>
      <w:r w:rsidR="00AA24DE">
        <w:rPr>
          <w:sz w:val="32"/>
          <w:szCs w:val="32"/>
        </w:rPr>
        <w:t xml:space="preserve">, to </w:t>
      </w:r>
      <w:proofErr w:type="gramStart"/>
      <w:r w:rsidR="00AA24DE">
        <w:rPr>
          <w:sz w:val="32"/>
          <w:szCs w:val="32"/>
        </w:rPr>
        <w:t>be held</w:t>
      </w:r>
      <w:proofErr w:type="gramEnd"/>
      <w:r w:rsidR="00AA24DE">
        <w:rPr>
          <w:sz w:val="32"/>
          <w:szCs w:val="32"/>
        </w:rPr>
        <w:t xml:space="preserve"> in October 2021. UNCTAD would substantively contribute to this event as a partner agency.</w:t>
      </w:r>
    </w:p>
    <w:p w:rsidR="00BD4D18" w:rsidRDefault="00AA24DE" w:rsidP="000E0D32">
      <w:pPr>
        <w:pStyle w:val="af"/>
        <w:numPr>
          <w:ilvl w:val="0"/>
          <w:numId w:val="2"/>
        </w:numPr>
        <w:spacing w:after="360" w:line="400" w:lineRule="exact"/>
        <w:ind w:left="0" w:firstLine="993"/>
        <w:rPr>
          <w:sz w:val="32"/>
          <w:szCs w:val="32"/>
        </w:rPr>
      </w:pPr>
      <w:r w:rsidRPr="00BD4D18">
        <w:rPr>
          <w:sz w:val="32"/>
          <w:szCs w:val="32"/>
        </w:rPr>
        <w:t xml:space="preserve">Explore the possibility of a mechanism for interaction and sharing of best practices among interested regional integration groupings. The outcome could be presented at the 2021 ECOSOC High-level Political Forum on Sustainable Development and/or at the general policy discussion of the 76th session of the UN General Assembly, during </w:t>
      </w:r>
      <w:r w:rsidR="00917966" w:rsidRPr="00BD4D18">
        <w:rPr>
          <w:sz w:val="32"/>
          <w:szCs w:val="32"/>
        </w:rPr>
        <w:t>UNCTAD 15</w:t>
      </w:r>
      <w:r w:rsidRPr="00BD4D18">
        <w:rPr>
          <w:sz w:val="32"/>
          <w:szCs w:val="32"/>
        </w:rPr>
        <w:t xml:space="preserve">, and </w:t>
      </w:r>
      <w:r w:rsidR="00917966" w:rsidRPr="00BD4D18">
        <w:rPr>
          <w:sz w:val="32"/>
          <w:szCs w:val="32"/>
        </w:rPr>
        <w:t xml:space="preserve">the </w:t>
      </w:r>
      <w:proofErr w:type="gramStart"/>
      <w:r w:rsidR="00917966" w:rsidRPr="00BD4D18">
        <w:rPr>
          <w:sz w:val="32"/>
          <w:szCs w:val="32"/>
        </w:rPr>
        <w:t>7th</w:t>
      </w:r>
      <w:proofErr w:type="gramEnd"/>
      <w:r w:rsidR="00917966" w:rsidRPr="00BD4D18">
        <w:rPr>
          <w:sz w:val="32"/>
          <w:szCs w:val="32"/>
        </w:rPr>
        <w:t xml:space="preserve"> UNCTAD World Investment Forum (WIF)</w:t>
      </w:r>
      <w:r w:rsidR="00BD4D18">
        <w:rPr>
          <w:sz w:val="32"/>
          <w:szCs w:val="32"/>
        </w:rPr>
        <w:t>.</w:t>
      </w:r>
    </w:p>
    <w:p w:rsidR="002222BA" w:rsidRPr="00BD4D18" w:rsidRDefault="00AA24DE" w:rsidP="006326D9">
      <w:pPr>
        <w:pStyle w:val="af"/>
        <w:numPr>
          <w:ilvl w:val="0"/>
          <w:numId w:val="2"/>
        </w:numPr>
        <w:spacing w:after="0" w:line="400" w:lineRule="exact"/>
        <w:ind w:left="0" w:firstLine="851"/>
      </w:pPr>
      <w:r w:rsidRPr="00E778AA">
        <w:rPr>
          <w:sz w:val="32"/>
          <w:szCs w:val="32"/>
        </w:rPr>
        <w:t>Explore mechanisms to launch a regular dialogue between the interested countries and regional integration groupings.</w:t>
      </w:r>
    </w:p>
    <w:sectPr w:rsidR="002222BA" w:rsidRPr="00BD4D18" w:rsidSect="00BD4D18">
      <w:headerReference w:type="default" r:id="rId10"/>
      <w:footerReference w:type="default" r:id="rId11"/>
      <w:pgSz w:w="11906" w:h="16838"/>
      <w:pgMar w:top="1077" w:right="1134" w:bottom="1077" w:left="1134" w:header="0"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51" w:rsidRDefault="00056351">
      <w:pPr>
        <w:spacing w:after="0"/>
      </w:pPr>
      <w:r>
        <w:separator/>
      </w:r>
    </w:p>
  </w:endnote>
  <w:endnote w:type="continuationSeparator" w:id="0">
    <w:p w:rsidR="00056351" w:rsidRDefault="00056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BA" w:rsidRDefault="002222BA">
    <w:pPr>
      <w:pStyle w:val="ab"/>
      <w:jc w:val="right"/>
    </w:pPr>
  </w:p>
  <w:p w:rsidR="002222BA" w:rsidRDefault="002222B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51" w:rsidRDefault="00056351">
      <w:pPr>
        <w:rPr>
          <w:sz w:val="12"/>
        </w:rPr>
      </w:pPr>
      <w:r>
        <w:separator/>
      </w:r>
    </w:p>
  </w:footnote>
  <w:footnote w:type="continuationSeparator" w:id="0">
    <w:p w:rsidR="00056351" w:rsidRDefault="00056351">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85208"/>
      <w:docPartObj>
        <w:docPartGallery w:val="Page Numbers (Top of Page)"/>
        <w:docPartUnique/>
      </w:docPartObj>
    </w:sdtPr>
    <w:sdtEndPr/>
    <w:sdtContent>
      <w:p w:rsidR="004A3650" w:rsidRDefault="004A3650">
        <w:pPr>
          <w:pStyle w:val="af4"/>
          <w:jc w:val="center"/>
        </w:pPr>
      </w:p>
      <w:p w:rsidR="004A3650" w:rsidRDefault="004A3650">
        <w:pPr>
          <w:pStyle w:val="af4"/>
          <w:jc w:val="center"/>
        </w:pPr>
      </w:p>
      <w:p w:rsidR="00C526D5" w:rsidRDefault="00C526D5">
        <w:pPr>
          <w:pStyle w:val="af4"/>
          <w:jc w:val="center"/>
        </w:pPr>
        <w:r>
          <w:fldChar w:fldCharType="begin"/>
        </w:r>
        <w:r>
          <w:instrText>PAGE   \* MERGEFORMAT</w:instrText>
        </w:r>
        <w:r>
          <w:fldChar w:fldCharType="separate"/>
        </w:r>
        <w:r w:rsidR="00E778AA" w:rsidRPr="00E778AA">
          <w:rPr>
            <w:noProof/>
            <w:lang w:val="ru-RU"/>
          </w:rPr>
          <w:t>4</w:t>
        </w:r>
        <w:r>
          <w:fldChar w:fldCharType="end"/>
        </w:r>
      </w:p>
    </w:sdtContent>
  </w:sdt>
  <w:p w:rsidR="002222BA" w:rsidRDefault="002222BA" w:rsidP="00741B2D">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2BA"/>
    <w:multiLevelType w:val="multilevel"/>
    <w:tmpl w:val="CE620914"/>
    <w:lvl w:ilvl="0">
      <w:start w:val="7"/>
      <w:numFmt w:val="bullet"/>
      <w:lvlText w:val="-"/>
      <w:lvlJc w:val="left"/>
      <w:pPr>
        <w:ind w:left="720" w:hanging="360"/>
      </w:pPr>
      <w:rPr>
        <w:rFonts w:ascii="Cambria" w:hAnsi="Cambria"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687176"/>
    <w:multiLevelType w:val="multilevel"/>
    <w:tmpl w:val="351CE902"/>
    <w:lvl w:ilvl="0">
      <w:start w:val="1"/>
      <w:numFmt w:val="bullet"/>
      <w:lvlText w:val=""/>
      <w:lvlJc w:val="left"/>
      <w:pPr>
        <w:ind w:left="720" w:hanging="360"/>
      </w:pPr>
      <w:rPr>
        <w:rFonts w:ascii="Symbol" w:hAnsi="Symbol" w:cs="Symbol" w:hint="default"/>
        <w:color w:val="4F81B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37020C"/>
    <w:multiLevelType w:val="multilevel"/>
    <w:tmpl w:val="50646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48A697F"/>
    <w:multiLevelType w:val="multilevel"/>
    <w:tmpl w:val="F4424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F57D0C"/>
    <w:multiLevelType w:val="multilevel"/>
    <w:tmpl w:val="3558EB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BC333DB"/>
    <w:multiLevelType w:val="multilevel"/>
    <w:tmpl w:val="35EE6D9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BA"/>
    <w:rsid w:val="00014FA7"/>
    <w:rsid w:val="00056351"/>
    <w:rsid w:val="000A5F96"/>
    <w:rsid w:val="000B5D2E"/>
    <w:rsid w:val="000E0D32"/>
    <w:rsid w:val="00135E2D"/>
    <w:rsid w:val="00141CC9"/>
    <w:rsid w:val="00181862"/>
    <w:rsid w:val="00186DDA"/>
    <w:rsid w:val="002222BA"/>
    <w:rsid w:val="00272D1A"/>
    <w:rsid w:val="002954AF"/>
    <w:rsid w:val="002A035B"/>
    <w:rsid w:val="002B3DDF"/>
    <w:rsid w:val="002E0911"/>
    <w:rsid w:val="00392369"/>
    <w:rsid w:val="003F65A6"/>
    <w:rsid w:val="0042741C"/>
    <w:rsid w:val="0045271F"/>
    <w:rsid w:val="00455753"/>
    <w:rsid w:val="00465DCC"/>
    <w:rsid w:val="004A3650"/>
    <w:rsid w:val="004A6110"/>
    <w:rsid w:val="004F3AA8"/>
    <w:rsid w:val="005024EF"/>
    <w:rsid w:val="00550DE1"/>
    <w:rsid w:val="00601EF4"/>
    <w:rsid w:val="00606B04"/>
    <w:rsid w:val="006223F1"/>
    <w:rsid w:val="00640B8D"/>
    <w:rsid w:val="00646E0B"/>
    <w:rsid w:val="006F7A6B"/>
    <w:rsid w:val="00741B2D"/>
    <w:rsid w:val="007F1BD7"/>
    <w:rsid w:val="00812962"/>
    <w:rsid w:val="00854DBA"/>
    <w:rsid w:val="008A4907"/>
    <w:rsid w:val="008C01F0"/>
    <w:rsid w:val="008F2F35"/>
    <w:rsid w:val="00913991"/>
    <w:rsid w:val="00917966"/>
    <w:rsid w:val="0092585E"/>
    <w:rsid w:val="009958FF"/>
    <w:rsid w:val="00995AC0"/>
    <w:rsid w:val="009B028E"/>
    <w:rsid w:val="009F24F4"/>
    <w:rsid w:val="009F61BA"/>
    <w:rsid w:val="00A66B6B"/>
    <w:rsid w:val="00AA24DE"/>
    <w:rsid w:val="00B03D46"/>
    <w:rsid w:val="00B95FD4"/>
    <w:rsid w:val="00BD4D18"/>
    <w:rsid w:val="00C17AE9"/>
    <w:rsid w:val="00C32B91"/>
    <w:rsid w:val="00C526D5"/>
    <w:rsid w:val="00C92353"/>
    <w:rsid w:val="00CB31F6"/>
    <w:rsid w:val="00D557A7"/>
    <w:rsid w:val="00D81693"/>
    <w:rsid w:val="00DB4BB0"/>
    <w:rsid w:val="00DE134A"/>
    <w:rsid w:val="00DF3E15"/>
    <w:rsid w:val="00E468CC"/>
    <w:rsid w:val="00E60E5A"/>
    <w:rsid w:val="00E670BC"/>
    <w:rsid w:val="00E778AA"/>
    <w:rsid w:val="00EC1FF2"/>
    <w:rsid w:val="00F07B6F"/>
    <w:rsid w:val="00F31FC3"/>
    <w:rsid w:val="00F446D1"/>
    <w:rsid w:val="00F93F37"/>
    <w:rsid w:val="00FD5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389AE-6CF1-47E2-A84F-3562375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40"/>
    <w:pPr>
      <w:spacing w:after="120"/>
    </w:pPr>
  </w:style>
  <w:style w:type="paragraph" w:styleId="1">
    <w:name w:val="heading 1"/>
    <w:basedOn w:val="a"/>
    <w:next w:val="a"/>
    <w:uiPriority w:val="9"/>
    <w:qFormat/>
    <w:rsid w:val="00B13CA7"/>
    <w:pPr>
      <w:keepNext/>
      <w:keepLines/>
      <w:spacing w:before="360"/>
      <w:jc w:val="center"/>
      <w:outlineLvl w:val="0"/>
    </w:pPr>
    <w:rPr>
      <w:rFonts w:eastAsiaTheme="majorEastAsia" w:cstheme="majorBidi"/>
      <w:color w:val="365F91" w:themeColor="accent1" w:themeShade="BF"/>
      <w:sz w:val="26"/>
      <w:szCs w:val="32"/>
    </w:rPr>
  </w:style>
  <w:style w:type="paragraph" w:styleId="2">
    <w:name w:val="heading 2"/>
    <w:basedOn w:val="a"/>
    <w:next w:val="a"/>
    <w:uiPriority w:val="9"/>
    <w:unhideWhenUsed/>
    <w:qFormat/>
    <w:rsid w:val="002E0387"/>
    <w:pPr>
      <w:keepNext/>
      <w:keepLines/>
      <w:spacing w:before="40" w:after="0"/>
      <w:outlineLvl w:val="1"/>
    </w:pPr>
    <w:rPr>
      <w:rFonts w:eastAsiaTheme="majorEastAsia" w:cstheme="majorBidi"/>
      <w:color w:val="4F81BD" w:themeColor="accent1"/>
      <w:sz w:val="24"/>
      <w:szCs w:val="26"/>
      <w:u w:val="single"/>
    </w:rPr>
  </w:style>
  <w:style w:type="paragraph" w:styleId="3">
    <w:name w:val="heading 3"/>
    <w:basedOn w:val="a"/>
    <w:next w:val="a"/>
    <w:uiPriority w:val="9"/>
    <w:semiHidden/>
    <w:unhideWhenUsed/>
    <w:qFormat/>
    <w:rsid w:val="002271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CC62D4"/>
  </w:style>
  <w:style w:type="character" w:customStyle="1" w:styleId="FootnoteCharacters">
    <w:name w:val="Footnote Characters"/>
    <w:basedOn w:val="a0"/>
    <w:uiPriority w:val="99"/>
    <w:semiHidden/>
    <w:unhideWhenUsed/>
    <w:qFormat/>
    <w:rsid w:val="00BF69E1"/>
    <w:rPr>
      <w:vertAlign w:val="superscript"/>
    </w:rPr>
  </w:style>
  <w:style w:type="character" w:customStyle="1" w:styleId="FootnoteAnchor">
    <w:name w:val="Footnote Anchor"/>
    <w:rPr>
      <w:vertAlign w:val="superscript"/>
    </w:rPr>
  </w:style>
  <w:style w:type="character" w:customStyle="1" w:styleId="a4">
    <w:name w:val="Нижний колонтитул Знак"/>
    <w:basedOn w:val="a0"/>
    <w:uiPriority w:val="99"/>
    <w:qFormat/>
    <w:rsid w:val="001B6ABE"/>
  </w:style>
  <w:style w:type="character" w:styleId="a5">
    <w:name w:val="page number"/>
    <w:basedOn w:val="a0"/>
    <w:uiPriority w:val="99"/>
    <w:semiHidden/>
    <w:unhideWhenUsed/>
    <w:qFormat/>
    <w:rsid w:val="001B6ABE"/>
  </w:style>
  <w:style w:type="character" w:customStyle="1" w:styleId="a6">
    <w:name w:val="Верхний колонтитул Знак"/>
    <w:basedOn w:val="a0"/>
    <w:uiPriority w:val="99"/>
    <w:qFormat/>
    <w:rsid w:val="001B6ABE"/>
  </w:style>
  <w:style w:type="character" w:customStyle="1" w:styleId="a7">
    <w:name w:val="Текст выноски Знак"/>
    <w:basedOn w:val="a0"/>
    <w:uiPriority w:val="99"/>
    <w:semiHidden/>
    <w:qFormat/>
    <w:rsid w:val="0021678B"/>
    <w:rPr>
      <w:rFonts w:ascii="Tahoma" w:hAnsi="Tahoma" w:cs="Tahoma"/>
      <w:sz w:val="16"/>
      <w:szCs w:val="16"/>
    </w:rPr>
  </w:style>
  <w:style w:type="character" w:customStyle="1" w:styleId="10">
    <w:name w:val="Заголовок 1 Знак"/>
    <w:basedOn w:val="a0"/>
    <w:link w:val="10"/>
    <w:uiPriority w:val="9"/>
    <w:qFormat/>
    <w:rsid w:val="00B13CA7"/>
    <w:rPr>
      <w:rFonts w:eastAsiaTheme="majorEastAsia" w:cstheme="majorBidi"/>
      <w:color w:val="365F91" w:themeColor="accent1" w:themeShade="BF"/>
      <w:sz w:val="26"/>
      <w:szCs w:val="32"/>
    </w:rPr>
  </w:style>
  <w:style w:type="character" w:customStyle="1" w:styleId="a8">
    <w:name w:val="Основной текст Знак"/>
    <w:basedOn w:val="a0"/>
    <w:qFormat/>
    <w:rsid w:val="00154498"/>
    <w:rPr>
      <w:rFonts w:ascii="Cambria" w:hAnsi="Cambria"/>
      <w:sz w:val="21"/>
      <w:lang w:val="en-GB"/>
    </w:rPr>
  </w:style>
  <w:style w:type="character" w:customStyle="1" w:styleId="a9">
    <w:name w:val="Заголовок Знак"/>
    <w:basedOn w:val="a0"/>
    <w:uiPriority w:val="10"/>
    <w:qFormat/>
    <w:rsid w:val="00EB77D3"/>
    <w:rPr>
      <w:rFonts w:ascii="Cambria" w:eastAsiaTheme="majorEastAsia" w:hAnsi="Cambria" w:cstheme="majorBidi"/>
      <w:smallCaps/>
      <w:color w:val="1F497D" w:themeColor="text2"/>
      <w:spacing w:val="-10"/>
      <w:kern w:val="2"/>
      <w:sz w:val="26"/>
      <w:szCs w:val="56"/>
    </w:rPr>
  </w:style>
  <w:style w:type="character" w:customStyle="1" w:styleId="20">
    <w:name w:val="Заголовок 2 Знак"/>
    <w:basedOn w:val="a0"/>
    <w:link w:val="20"/>
    <w:uiPriority w:val="9"/>
    <w:qFormat/>
    <w:rsid w:val="002E0387"/>
    <w:rPr>
      <w:rFonts w:eastAsiaTheme="majorEastAsia" w:cstheme="majorBidi"/>
      <w:color w:val="4F81BD" w:themeColor="accent1"/>
      <w:sz w:val="24"/>
      <w:szCs w:val="26"/>
      <w:u w:val="single"/>
    </w:rPr>
  </w:style>
  <w:style w:type="character" w:customStyle="1" w:styleId="field">
    <w:name w:val="field"/>
    <w:basedOn w:val="a0"/>
    <w:qFormat/>
    <w:rsid w:val="001013F2"/>
  </w:style>
  <w:style w:type="character" w:styleId="aa">
    <w:name w:val="Hyperlink"/>
    <w:basedOn w:val="a0"/>
    <w:uiPriority w:val="99"/>
    <w:unhideWhenUsed/>
    <w:rsid w:val="00D803A4"/>
    <w:rPr>
      <w:color w:val="0000FF" w:themeColor="hyperlink"/>
      <w:u w:val="single"/>
    </w:rPr>
  </w:style>
  <w:style w:type="character" w:customStyle="1" w:styleId="UnresolvedMention1">
    <w:name w:val="Unresolved Mention1"/>
    <w:basedOn w:val="a0"/>
    <w:uiPriority w:val="99"/>
    <w:semiHidden/>
    <w:unhideWhenUsed/>
    <w:qFormat/>
    <w:rsid w:val="00D803A4"/>
    <w:rPr>
      <w:color w:val="605E5C"/>
      <w:shd w:val="clear" w:color="auto" w:fill="E1DFDD"/>
    </w:rPr>
  </w:style>
  <w:style w:type="character" w:customStyle="1" w:styleId="11">
    <w:name w:val="Нижний колонтитул Знак1"/>
    <w:basedOn w:val="a0"/>
    <w:link w:val="ab"/>
    <w:uiPriority w:val="99"/>
    <w:qFormat/>
    <w:rsid w:val="00697968"/>
  </w:style>
  <w:style w:type="character" w:styleId="ac">
    <w:name w:val="annotation reference"/>
    <w:basedOn w:val="a0"/>
    <w:uiPriority w:val="99"/>
    <w:semiHidden/>
    <w:unhideWhenUsed/>
    <w:qFormat/>
    <w:rsid w:val="006A4544"/>
    <w:rPr>
      <w:sz w:val="16"/>
      <w:szCs w:val="16"/>
    </w:rPr>
  </w:style>
  <w:style w:type="character" w:customStyle="1" w:styleId="ad">
    <w:name w:val="Текст примечания Знак"/>
    <w:basedOn w:val="a0"/>
    <w:uiPriority w:val="99"/>
    <w:semiHidden/>
    <w:qFormat/>
    <w:rsid w:val="006A4544"/>
  </w:style>
  <w:style w:type="character" w:customStyle="1" w:styleId="ae">
    <w:name w:val="Тема примечания Знак"/>
    <w:basedOn w:val="ad"/>
    <w:uiPriority w:val="99"/>
    <w:semiHidden/>
    <w:qFormat/>
    <w:rsid w:val="006A4544"/>
    <w:rPr>
      <w:b/>
      <w:bCs/>
    </w:rPr>
  </w:style>
  <w:style w:type="character" w:customStyle="1" w:styleId="30">
    <w:name w:val="Заголовок 3 Знак"/>
    <w:basedOn w:val="a0"/>
    <w:link w:val="30"/>
    <w:uiPriority w:val="9"/>
    <w:semiHidden/>
    <w:qFormat/>
    <w:rsid w:val="002271F4"/>
    <w:rPr>
      <w:rFonts w:asciiTheme="majorHAnsi" w:eastAsiaTheme="majorEastAsia" w:hAnsiTheme="majorHAnsi" w:cstheme="majorBidi"/>
      <w:color w:val="243F60" w:themeColor="accent1" w:themeShade="7F"/>
      <w:sz w:val="24"/>
      <w:szCs w:val="24"/>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
    <w:qFormat/>
    <w:pPr>
      <w:keepNext/>
      <w:spacing w:before="240"/>
    </w:pPr>
    <w:rPr>
      <w:rFonts w:ascii="Liberation Sans" w:eastAsia="Microsoft YaHei" w:hAnsi="Liberation Sans" w:cs="Arial"/>
      <w:sz w:val="28"/>
      <w:szCs w:val="28"/>
    </w:rPr>
  </w:style>
  <w:style w:type="paragraph" w:styleId="af">
    <w:name w:val="Body Text"/>
    <w:basedOn w:val="a"/>
    <w:qFormat/>
    <w:rsid w:val="00154498"/>
    <w:pPr>
      <w:spacing w:after="160" w:line="280" w:lineRule="atLeast"/>
      <w:jc w:val="both"/>
    </w:pPr>
    <w:rPr>
      <w:rFonts w:ascii="Cambria" w:hAnsi="Cambria"/>
      <w:sz w:val="21"/>
      <w:lang w:val="en-GB"/>
    </w:rPr>
  </w:style>
  <w:style w:type="paragraph" w:styleId="af0">
    <w:name w:val="List"/>
    <w:basedOn w:val="af"/>
    <w:rPr>
      <w:rFonts w:cs="Arial"/>
    </w:rPr>
  </w:style>
  <w:style w:type="paragraph" w:styleId="af1">
    <w:name w:val="caption"/>
    <w:basedOn w:val="a"/>
    <w:qFormat/>
    <w:pPr>
      <w:suppressLineNumbers/>
      <w:spacing w:before="120"/>
    </w:pPr>
    <w:rPr>
      <w:rFonts w:cs="Arial"/>
      <w:i/>
      <w:iCs/>
    </w:rPr>
  </w:style>
  <w:style w:type="paragraph" w:customStyle="1" w:styleId="Index">
    <w:name w:val="Index"/>
    <w:basedOn w:val="a"/>
    <w:qFormat/>
    <w:pPr>
      <w:suppressLineNumbers/>
    </w:pPr>
    <w:rPr>
      <w:rFonts w:cs="Arial"/>
    </w:rPr>
  </w:style>
  <w:style w:type="paragraph" w:styleId="af2">
    <w:name w:val="List Paragraph"/>
    <w:basedOn w:val="a"/>
    <w:uiPriority w:val="34"/>
    <w:qFormat/>
    <w:rsid w:val="00510548"/>
    <w:pPr>
      <w:ind w:left="720"/>
      <w:contextualSpacing/>
    </w:pPr>
  </w:style>
  <w:style w:type="paragraph" w:styleId="af3">
    <w:name w:val="footnote text"/>
    <w:basedOn w:val="a"/>
    <w:uiPriority w:val="99"/>
    <w:unhideWhenUsed/>
    <w:rsid w:val="00CC62D4"/>
  </w:style>
  <w:style w:type="paragraph" w:customStyle="1" w:styleId="HeaderandFooter">
    <w:name w:val="Header and Footer"/>
    <w:basedOn w:val="a"/>
    <w:qFormat/>
  </w:style>
  <w:style w:type="paragraph" w:styleId="ab">
    <w:name w:val="footer"/>
    <w:basedOn w:val="a"/>
    <w:link w:val="11"/>
    <w:uiPriority w:val="99"/>
    <w:unhideWhenUsed/>
    <w:rsid w:val="001B6ABE"/>
    <w:pPr>
      <w:tabs>
        <w:tab w:val="center" w:pos="4320"/>
        <w:tab w:val="right" w:pos="8640"/>
      </w:tabs>
    </w:pPr>
  </w:style>
  <w:style w:type="paragraph" w:styleId="af4">
    <w:name w:val="header"/>
    <w:basedOn w:val="a"/>
    <w:uiPriority w:val="99"/>
    <w:unhideWhenUsed/>
    <w:rsid w:val="001B6ABE"/>
    <w:pPr>
      <w:tabs>
        <w:tab w:val="center" w:pos="4320"/>
        <w:tab w:val="right" w:pos="8640"/>
      </w:tabs>
    </w:pPr>
  </w:style>
  <w:style w:type="paragraph" w:styleId="af5">
    <w:name w:val="Balloon Text"/>
    <w:basedOn w:val="a"/>
    <w:uiPriority w:val="99"/>
    <w:semiHidden/>
    <w:unhideWhenUsed/>
    <w:qFormat/>
    <w:rsid w:val="0021678B"/>
    <w:rPr>
      <w:rFonts w:ascii="Tahoma" w:hAnsi="Tahoma" w:cs="Tahoma"/>
      <w:sz w:val="16"/>
      <w:szCs w:val="16"/>
    </w:rPr>
  </w:style>
  <w:style w:type="paragraph" w:customStyle="1" w:styleId="FrameContents">
    <w:name w:val="Frame Contents"/>
    <w:basedOn w:val="a"/>
    <w:qFormat/>
  </w:style>
  <w:style w:type="paragraph" w:styleId="af6">
    <w:name w:val="No Spacing"/>
    <w:uiPriority w:val="1"/>
    <w:qFormat/>
    <w:rsid w:val="00157ED8"/>
    <w:rPr>
      <w:sz w:val="24"/>
    </w:rPr>
  </w:style>
  <w:style w:type="paragraph" w:styleId="af7">
    <w:name w:val="Title"/>
    <w:basedOn w:val="a"/>
    <w:next w:val="a"/>
    <w:uiPriority w:val="10"/>
    <w:qFormat/>
    <w:rsid w:val="00EB77D3"/>
    <w:pPr>
      <w:spacing w:after="0"/>
      <w:contextualSpacing/>
      <w:jc w:val="center"/>
    </w:pPr>
    <w:rPr>
      <w:rFonts w:ascii="Cambria" w:eastAsiaTheme="majorEastAsia" w:hAnsi="Cambria" w:cstheme="majorBidi"/>
      <w:smallCaps/>
      <w:color w:val="1F497D" w:themeColor="text2"/>
      <w:spacing w:val="-10"/>
      <w:kern w:val="2"/>
      <w:sz w:val="26"/>
      <w:szCs w:val="56"/>
    </w:rPr>
  </w:style>
  <w:style w:type="paragraph" w:styleId="af8">
    <w:name w:val="Normal (Web)"/>
    <w:basedOn w:val="a"/>
    <w:uiPriority w:val="99"/>
    <w:semiHidden/>
    <w:unhideWhenUsed/>
    <w:qFormat/>
    <w:rsid w:val="0088218F"/>
    <w:pPr>
      <w:suppressAutoHyphens w:val="0"/>
      <w:spacing w:beforeAutospacing="1" w:afterAutospacing="1"/>
    </w:pPr>
    <w:rPr>
      <w:rFonts w:ascii="Times New Roman" w:eastAsia="Times New Roman" w:hAnsi="Times New Roman" w:cs="Times New Roman"/>
      <w:sz w:val="24"/>
      <w:szCs w:val="24"/>
      <w:lang w:val="en-GB" w:eastAsia="ja-JP"/>
    </w:rPr>
  </w:style>
  <w:style w:type="paragraph" w:styleId="af9">
    <w:name w:val="annotation text"/>
    <w:basedOn w:val="a"/>
    <w:uiPriority w:val="99"/>
    <w:semiHidden/>
    <w:unhideWhenUsed/>
    <w:qFormat/>
    <w:rsid w:val="006A4544"/>
  </w:style>
  <w:style w:type="paragraph" w:styleId="afa">
    <w:name w:val="annotation subject"/>
    <w:basedOn w:val="af9"/>
    <w:next w:val="af9"/>
    <w:uiPriority w:val="99"/>
    <w:semiHidden/>
    <w:unhideWhenUsed/>
    <w:qFormat/>
    <w:rsid w:val="006A4544"/>
    <w:rPr>
      <w:b/>
      <w:bCs/>
    </w:rPr>
  </w:style>
  <w:style w:type="table" w:styleId="afb">
    <w:name w:val="Table Grid"/>
    <w:basedOn w:val="a1"/>
    <w:uiPriority w:val="59"/>
    <w:rsid w:val="0029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F31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larus.geneva@mfa.gov.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va@foreign.gov.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AA10-6F08-4008-8293-C62DF82A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UNCTAD</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Danika Alcantara</dc:creator>
  <dc:description/>
  <cp:lastModifiedBy>Diplomat3</cp:lastModifiedBy>
  <cp:revision>13</cp:revision>
  <cp:lastPrinted>2021-04-15T13:54:00Z</cp:lastPrinted>
  <dcterms:created xsi:type="dcterms:W3CDTF">2021-04-22T07:18:00Z</dcterms:created>
  <dcterms:modified xsi:type="dcterms:W3CDTF">2021-04-30T14:17:00Z</dcterms:modified>
  <dc:language>be-BY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UNCTAD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